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226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tabs>
          <w:tab w:val="center" w:pos="4818"/>
          <w:tab w:val="left" w:pos="828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Косенко Маргариты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работающей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Валтэк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Косенко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Валтэк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16а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офис 21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налоговый расчет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.06.2023, то есть позже установленного законодательством срока.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Косенко М.А.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Косенко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Косенко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Косенко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(расчета) </w:t>
      </w:r>
      <w:r>
        <w:rPr>
          <w:rFonts w:ascii="Times New Roman" w:eastAsia="Times New Roman" w:hAnsi="Times New Roman" w:cs="Times New Roman"/>
          <w:sz w:val="26"/>
          <w:szCs w:val="26"/>
        </w:rPr>
        <w:t>в электронной форме, согласно которой налоговый расчет по страховым взносам за 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1 п. 1 ст.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3 п. 3 ст.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Косенко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Косенко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Косенко М.А.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Валтэк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Косенко Маргарит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14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44">
    <w:name w:val="cat-UserDefined grp-30 rplc-44"/>
    <w:basedOn w:val="DefaultParagraphFont"/>
  </w:style>
  <w:style w:type="character" w:customStyle="1" w:styleId="cat-UserDefinedgrp-31rplc-47">
    <w:name w:val="cat-UserDefined grp-3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